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5004AE">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B93281" w:rsidRDefault="002D1EA7">
                  <w:pPr>
                    <w:pStyle w:val="NoSpacing"/>
                    <w:rPr>
                      <w:sz w:val="64"/>
                      <w:szCs w:val="64"/>
                    </w:rPr>
                  </w:pPr>
                  <w:r>
                    <w:rPr>
                      <w:sz w:val="64"/>
                      <w:szCs w:val="64"/>
                    </w:rPr>
                    <w:t>Common Mistakes Made By Company Directors In Managing Their Business</w:t>
                  </w:r>
                </w:p>
                <w:p w:rsidR="002D1EA7" w:rsidRPr="002D1EA7" w:rsidRDefault="002D1EA7">
                  <w:pPr>
                    <w:pStyle w:val="NoSpacing"/>
                    <w:rPr>
                      <w:i/>
                      <w:sz w:val="44"/>
                      <w:szCs w:val="44"/>
                    </w:rPr>
                  </w:pPr>
                  <w:r w:rsidRPr="002D1EA7">
                    <w:rPr>
                      <w:i/>
                      <w:sz w:val="44"/>
                      <w:szCs w:val="44"/>
                    </w:rPr>
                    <w:t>(with real life case</w:t>
                  </w:r>
                  <w:r>
                    <w:rPr>
                      <w:i/>
                      <w:sz w:val="44"/>
                      <w:szCs w:val="44"/>
                    </w:rPr>
                    <w:t>s</w:t>
                  </w:r>
                  <w:r w:rsidRPr="002D1EA7">
                    <w:rPr>
                      <w:i/>
                      <w:sz w:val="44"/>
                      <w:szCs w:val="44"/>
                    </w:rPr>
                    <w:t>)</w:t>
                  </w:r>
                </w:p>
                <w:p w:rsidR="00FA3D7F" w:rsidRDefault="00FA3D7F">
                  <w:pPr>
                    <w:pStyle w:val="NoSpacing"/>
                    <w:rPr>
                      <w:sz w:val="40"/>
                      <w:szCs w:val="40"/>
                    </w:rPr>
                  </w:pPr>
                </w:p>
                <w:p w:rsidR="00696AB3" w:rsidRPr="00696AB3" w:rsidRDefault="00703FDF">
                  <w:pPr>
                    <w:pStyle w:val="NoSpacing"/>
                    <w:rPr>
                      <w:color w:val="FFFFFF"/>
                      <w:sz w:val="40"/>
                      <w:szCs w:val="40"/>
                    </w:rPr>
                  </w:pPr>
                  <w:r>
                    <w:rPr>
                      <w:sz w:val="40"/>
                      <w:szCs w:val="40"/>
                    </w:rPr>
                    <w:t>21</w:t>
                  </w:r>
                  <w:r w:rsidRPr="00703FDF">
                    <w:rPr>
                      <w:sz w:val="40"/>
                      <w:szCs w:val="40"/>
                      <w:vertAlign w:val="superscript"/>
                    </w:rPr>
                    <w:t>st</w:t>
                  </w:r>
                  <w:r>
                    <w:rPr>
                      <w:sz w:val="40"/>
                      <w:szCs w:val="40"/>
                    </w:rPr>
                    <w:t xml:space="preserve"> October / 25</w:t>
                  </w:r>
                  <w:r w:rsidRPr="00703FDF">
                    <w:rPr>
                      <w:sz w:val="40"/>
                      <w:szCs w:val="40"/>
                      <w:vertAlign w:val="superscript"/>
                    </w:rPr>
                    <w:t>th</w:t>
                  </w:r>
                  <w:r>
                    <w:rPr>
                      <w:sz w:val="40"/>
                      <w:szCs w:val="40"/>
                    </w:rPr>
                    <w:t xml:space="preserve"> November</w:t>
                  </w:r>
                </w:p>
                <w:p w:rsidR="00696AB3" w:rsidRPr="00696AB3" w:rsidRDefault="00696AB3">
                  <w:pPr>
                    <w:pStyle w:val="NoSpacing"/>
                    <w:rPr>
                      <w:color w:val="FFFFFF"/>
                    </w:rPr>
                  </w:pPr>
                </w:p>
                <w:p w:rsidR="00696AB3" w:rsidRPr="00696AB3" w:rsidRDefault="00FA3D7F" w:rsidP="00FA3D7F">
                  <w:pPr>
                    <w:pStyle w:val="NoSpacing"/>
                    <w:rPr>
                      <w:color w:val="FFFFFF"/>
                    </w:rPr>
                  </w:pPr>
                  <w:r w:rsidRPr="00FA3D7F">
                    <w:t>Directors (whether independent or non-independent) are ultimately responsible for the management of a company and are susceptible to oversights and making mistakes.</w:t>
                  </w:r>
                </w:p>
              </w:txbxContent>
            </v:textbox>
          </v:rect>
        </w:pict>
      </w:r>
    </w:p>
    <w:p w:rsidR="00696AB3" w:rsidRDefault="00696AB3"/>
    <w:p w:rsidR="00D35263" w:rsidRDefault="005004AE">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0C002D">
      <w:r>
        <w:rPr>
          <w:rFonts w:asciiTheme="minorHAnsi" w:hAnsiTheme="minorHAnsi"/>
          <w:noProof/>
          <w:lang w:val="en-US"/>
        </w:rPr>
        <w:lastRenderedPageBreak/>
        <w:pict>
          <v:roundrect id="_x0000_s1051" style="position:absolute;margin-left:251.75pt;margin-top:8.65pt;width:150.55pt;height:23.4pt;z-index:-251651072" arcsize="10923f">
            <v:shadow on="t" offset="3pt" offset2="2pt"/>
            <v:textbox style="mso-next-textbox:#_x0000_s1051">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r w:rsidR="005004AE" w:rsidRPr="005004AE">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FA3D7F" w:rsidRDefault="00FA3D7F" w:rsidP="00836B98">
      <w:pPr>
        <w:jc w:val="both"/>
        <w:rPr>
          <w:rFonts w:asciiTheme="minorHAnsi" w:hAnsiTheme="minorHAnsi"/>
        </w:rPr>
      </w:pPr>
      <w:r w:rsidRPr="00FA3D7F">
        <w:rPr>
          <w:rFonts w:asciiTheme="minorHAnsi" w:hAnsiTheme="minorHAnsi"/>
        </w:rPr>
        <w:t>Directors (whether independent or non-independent) are ultimately responsible for the management of a company and are susceptible to oversights and making mistakes.</w:t>
      </w:r>
    </w:p>
    <w:p w:rsidR="00FA3D7F" w:rsidRDefault="005004AE" w:rsidP="003F6F40">
      <w:pPr>
        <w:rPr>
          <w:rFonts w:asciiTheme="minorHAnsi" w:hAnsiTheme="minorHAnsi"/>
        </w:rPr>
      </w:pPr>
      <w:r>
        <w:rPr>
          <w:rFonts w:asciiTheme="minorHAnsi" w:hAnsiTheme="minorHAnsi"/>
          <w:noProof/>
          <w:lang w:val="en-US"/>
        </w:rPr>
        <w:pict>
          <v:roundrect id="_x0000_s1049" style="position:absolute;margin-left:-6.8pt;margin-top:10.25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p>
    <w:p w:rsidR="003F6F40" w:rsidRPr="00B26841" w:rsidRDefault="003F6F40" w:rsidP="003F6F40">
      <w:pPr>
        <w:rPr>
          <w:rFonts w:asciiTheme="minorHAnsi" w:hAnsiTheme="minorHAnsi"/>
        </w:rPr>
      </w:pPr>
    </w:p>
    <w:p w:rsidR="003F6F40" w:rsidRDefault="003F6F40" w:rsidP="003F6F40">
      <w:pPr>
        <w:rPr>
          <w:rFonts w:asciiTheme="minorHAnsi" w:hAnsiTheme="minorHAnsi"/>
        </w:rPr>
      </w:pPr>
    </w:p>
    <w:p w:rsidR="00FA3D7F" w:rsidRPr="00FA3D7F" w:rsidRDefault="00FA3D7F" w:rsidP="00836B98">
      <w:pPr>
        <w:pStyle w:val="ListParagraph"/>
        <w:numPr>
          <w:ilvl w:val="0"/>
          <w:numId w:val="13"/>
        </w:numPr>
        <w:spacing w:line="240" w:lineRule="auto"/>
        <w:ind w:left="284" w:hanging="284"/>
        <w:jc w:val="both"/>
        <w:rPr>
          <w:rFonts w:asciiTheme="minorHAnsi" w:hAnsiTheme="minorHAnsi"/>
        </w:rPr>
      </w:pPr>
      <w:r w:rsidRPr="00FA3D7F">
        <w:rPr>
          <w:rFonts w:asciiTheme="minorHAnsi" w:hAnsiTheme="minorHAnsi"/>
        </w:rPr>
        <w:t>To examine some of the common mistakes made by directors.</w:t>
      </w:r>
    </w:p>
    <w:p w:rsidR="00FA3D7F" w:rsidRPr="00FA3D7F" w:rsidRDefault="005004AE" w:rsidP="00836B98">
      <w:pPr>
        <w:pStyle w:val="ListParagraph"/>
        <w:numPr>
          <w:ilvl w:val="0"/>
          <w:numId w:val="13"/>
        </w:numPr>
        <w:spacing w:line="240" w:lineRule="auto"/>
        <w:ind w:left="284" w:hanging="284"/>
        <w:jc w:val="both"/>
        <w:rPr>
          <w:rFonts w:asciiTheme="minorHAnsi" w:hAnsiTheme="minorHAnsi"/>
        </w:rPr>
      </w:pPr>
      <w:r>
        <w:rPr>
          <w:rFonts w:asciiTheme="minorHAnsi" w:hAnsiTheme="minorHAnsi"/>
          <w:noProof/>
        </w:rPr>
        <w:pict>
          <v:roundrect id="_x0000_s1129" style="position:absolute;left:0;text-align:left;margin-left:-6.8pt;margin-top:49.65pt;width:150.55pt;height:23.4pt;z-index:-251575296" arcsize="10923f">
            <v:shadow on="t" offset="3pt" offset2="2pt"/>
            <v:textbox style="mso-next-textbox:#_x0000_s1129">
              <w:txbxContent>
                <w:p w:rsidR="00FA3D7F" w:rsidRPr="00B374FE" w:rsidRDefault="00FA3D7F" w:rsidP="00FA3D7F">
                  <w:pPr>
                    <w:rPr>
                      <w:rFonts w:asciiTheme="minorHAnsi" w:hAnsiTheme="minorHAnsi"/>
                    </w:rPr>
                  </w:pPr>
                  <w:r>
                    <w:rPr>
                      <w:rFonts w:asciiTheme="minorHAnsi" w:hAnsiTheme="minorHAnsi"/>
                    </w:rPr>
                    <w:t>COURSE COVERAGE</w:t>
                  </w:r>
                </w:p>
              </w:txbxContent>
            </v:textbox>
          </v:roundrect>
        </w:pict>
      </w:r>
      <w:r w:rsidR="00FA3D7F" w:rsidRPr="00FA3D7F">
        <w:rPr>
          <w:rFonts w:asciiTheme="minorHAnsi" w:hAnsiTheme="minorHAnsi"/>
        </w:rPr>
        <w:t>To appreciate the mistakes made by some directors and to plan ahead to reduce the risk of such mistakes.</w:t>
      </w:r>
    </w:p>
    <w:p w:rsidR="00FA3D7F" w:rsidRDefault="00FA3D7F" w:rsidP="003F6F40">
      <w:pPr>
        <w:rPr>
          <w:rFonts w:asciiTheme="minorHAnsi" w:hAnsiTheme="minorHAnsi"/>
        </w:rPr>
      </w:pPr>
    </w:p>
    <w:p w:rsidR="00FA3D7F" w:rsidRDefault="00FA3D7F" w:rsidP="003F6F40">
      <w:pPr>
        <w:rPr>
          <w:rFonts w:asciiTheme="minorHAnsi" w:hAnsiTheme="minorHAnsi"/>
        </w:rPr>
      </w:pPr>
    </w:p>
    <w:p w:rsidR="00FA3D7F" w:rsidRPr="00FA3D7F" w:rsidRDefault="00D66C13" w:rsidP="00836B98">
      <w:pPr>
        <w:pStyle w:val="ListParagraph"/>
        <w:numPr>
          <w:ilvl w:val="0"/>
          <w:numId w:val="13"/>
        </w:numPr>
        <w:spacing w:line="240" w:lineRule="auto"/>
        <w:ind w:left="284" w:hanging="284"/>
        <w:jc w:val="both"/>
        <w:rPr>
          <w:rFonts w:asciiTheme="minorHAnsi" w:hAnsiTheme="minorHAnsi"/>
        </w:rPr>
      </w:pPr>
      <w:r>
        <w:rPr>
          <w:rFonts w:asciiTheme="minorHAnsi" w:hAnsiTheme="minorHAnsi"/>
          <w:noProof/>
          <w:lang w:eastAsia="en-US"/>
        </w:rPr>
        <w:drawing>
          <wp:anchor distT="0" distB="0" distL="114300" distR="114300" simplePos="0" relativeHeight="251747328" behindDoc="1" locked="0" layoutInCell="1" allowOverlap="1">
            <wp:simplePos x="0" y="0"/>
            <wp:positionH relativeFrom="column">
              <wp:posOffset>3288030</wp:posOffset>
            </wp:positionH>
            <wp:positionV relativeFrom="paragraph">
              <wp:posOffset>77470</wp:posOffset>
            </wp:positionV>
            <wp:extent cx="1012190" cy="765175"/>
            <wp:effectExtent l="19050" t="0" r="0" b="0"/>
            <wp:wrapTight wrapText="bothSides">
              <wp:wrapPolygon edited="0">
                <wp:start x="-407" y="0"/>
                <wp:lineTo x="-407" y="20973"/>
                <wp:lineTo x="21546" y="20973"/>
                <wp:lineTo x="21546" y="0"/>
                <wp:lineTo x="-407" y="0"/>
              </wp:wrapPolygon>
            </wp:wrapTight>
            <wp:docPr id="2" name="Picture 1" descr="Devane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anesan.jpg"/>
                    <pic:cNvPicPr/>
                  </pic:nvPicPr>
                  <pic:blipFill>
                    <a:blip r:embed="rId13" cstate="print"/>
                    <a:stretch>
                      <a:fillRect/>
                    </a:stretch>
                  </pic:blipFill>
                  <pic:spPr>
                    <a:xfrm>
                      <a:off x="0" y="0"/>
                      <a:ext cx="1012190" cy="765175"/>
                    </a:xfrm>
                    <a:prstGeom prst="rect">
                      <a:avLst/>
                    </a:prstGeom>
                  </pic:spPr>
                </pic:pic>
              </a:graphicData>
            </a:graphic>
          </wp:anchor>
        </w:drawing>
      </w:r>
      <w:r w:rsidR="00FA3D7F">
        <w:rPr>
          <w:rFonts w:asciiTheme="minorHAnsi" w:hAnsiTheme="minorHAnsi"/>
        </w:rPr>
        <w:t xml:space="preserve">Mistake #1: </w:t>
      </w:r>
      <w:r w:rsidR="00FA3D7F" w:rsidRPr="00FA3D7F">
        <w:rPr>
          <w:rFonts w:asciiTheme="minorHAnsi" w:hAnsiTheme="minorHAnsi"/>
        </w:rPr>
        <w:t xml:space="preserve">Complacency: Lack of Timely &amp; Decisive Action </w:t>
      </w:r>
    </w:p>
    <w:p w:rsidR="00FA3D7F" w:rsidRPr="00FA3D7F" w:rsidRDefault="00FA3D7F" w:rsidP="00836B98">
      <w:pPr>
        <w:pStyle w:val="ListParagraph"/>
        <w:numPr>
          <w:ilvl w:val="0"/>
          <w:numId w:val="13"/>
        </w:numPr>
        <w:spacing w:line="240" w:lineRule="auto"/>
        <w:ind w:left="284" w:hanging="284"/>
        <w:jc w:val="both"/>
        <w:rPr>
          <w:rFonts w:asciiTheme="minorHAnsi" w:hAnsiTheme="minorHAnsi"/>
        </w:rPr>
      </w:pPr>
      <w:r w:rsidRPr="00FA3D7F">
        <w:rPr>
          <w:rFonts w:asciiTheme="minorHAnsi" w:hAnsiTheme="minorHAnsi"/>
        </w:rPr>
        <w:t>Mistake #2:</w:t>
      </w:r>
      <w:r>
        <w:rPr>
          <w:rFonts w:asciiTheme="minorHAnsi" w:hAnsiTheme="minorHAnsi"/>
        </w:rPr>
        <w:t xml:space="preserve"> S</w:t>
      </w:r>
      <w:r w:rsidRPr="00FA3D7F">
        <w:rPr>
          <w:rFonts w:asciiTheme="minorHAnsi" w:hAnsiTheme="minorHAnsi"/>
        </w:rPr>
        <w:t>trategi</w:t>
      </w:r>
      <w:r>
        <w:rPr>
          <w:rFonts w:asciiTheme="minorHAnsi" w:hAnsiTheme="minorHAnsi"/>
        </w:rPr>
        <w:t>c Market Positioning Misaligned</w:t>
      </w:r>
    </w:p>
    <w:p w:rsidR="00FA3D7F" w:rsidRPr="00FA3D7F" w:rsidRDefault="00FA3D7F" w:rsidP="00836B98">
      <w:pPr>
        <w:pStyle w:val="ListParagraph"/>
        <w:numPr>
          <w:ilvl w:val="0"/>
          <w:numId w:val="13"/>
        </w:numPr>
        <w:spacing w:line="240" w:lineRule="auto"/>
        <w:ind w:left="284" w:hanging="284"/>
        <w:jc w:val="both"/>
        <w:rPr>
          <w:rFonts w:asciiTheme="minorHAnsi" w:hAnsiTheme="minorHAnsi"/>
        </w:rPr>
      </w:pPr>
      <w:r w:rsidRPr="00FA3D7F">
        <w:rPr>
          <w:rFonts w:asciiTheme="minorHAnsi" w:hAnsiTheme="minorHAnsi"/>
        </w:rPr>
        <w:t>Mistake #3:</w:t>
      </w:r>
      <w:r>
        <w:rPr>
          <w:rFonts w:asciiTheme="minorHAnsi" w:hAnsiTheme="minorHAnsi"/>
        </w:rPr>
        <w:t xml:space="preserve"> </w:t>
      </w:r>
      <w:r w:rsidRPr="00FA3D7F">
        <w:rPr>
          <w:rFonts w:asciiTheme="minorHAnsi" w:hAnsiTheme="minorHAnsi"/>
        </w:rPr>
        <w:t>Lack of a High</w:t>
      </w:r>
      <w:r>
        <w:rPr>
          <w:rFonts w:asciiTheme="minorHAnsi" w:hAnsiTheme="minorHAnsi"/>
        </w:rPr>
        <w:t>ly Defined Business Model</w:t>
      </w:r>
    </w:p>
    <w:p w:rsidR="00FA3D7F" w:rsidRPr="00FA3D7F" w:rsidRDefault="00FA3D7F" w:rsidP="00836B98">
      <w:pPr>
        <w:pStyle w:val="ListParagraph"/>
        <w:numPr>
          <w:ilvl w:val="0"/>
          <w:numId w:val="13"/>
        </w:numPr>
        <w:spacing w:line="240" w:lineRule="auto"/>
        <w:ind w:left="284" w:hanging="284"/>
        <w:jc w:val="both"/>
        <w:rPr>
          <w:rFonts w:asciiTheme="minorHAnsi" w:hAnsiTheme="minorHAnsi"/>
        </w:rPr>
      </w:pPr>
      <w:r w:rsidRPr="00FA3D7F">
        <w:rPr>
          <w:rFonts w:asciiTheme="minorHAnsi" w:hAnsiTheme="minorHAnsi"/>
        </w:rPr>
        <w:t>Mistake #4:</w:t>
      </w:r>
      <w:r>
        <w:rPr>
          <w:rFonts w:asciiTheme="minorHAnsi" w:hAnsiTheme="minorHAnsi"/>
        </w:rPr>
        <w:t xml:space="preserve"> </w:t>
      </w:r>
      <w:r w:rsidRPr="00FA3D7F">
        <w:rPr>
          <w:rFonts w:asciiTheme="minorHAnsi" w:hAnsiTheme="minorHAnsi"/>
        </w:rPr>
        <w:t>Low Reliance on the Need for Processes &amp; Measurements</w:t>
      </w:r>
    </w:p>
    <w:p w:rsidR="00FA3D7F" w:rsidRPr="00FA3D7F" w:rsidRDefault="00FA3D7F" w:rsidP="00836B98">
      <w:pPr>
        <w:pStyle w:val="ListParagraph"/>
        <w:numPr>
          <w:ilvl w:val="0"/>
          <w:numId w:val="13"/>
        </w:numPr>
        <w:spacing w:line="240" w:lineRule="auto"/>
        <w:ind w:left="284" w:hanging="284"/>
        <w:jc w:val="both"/>
        <w:rPr>
          <w:rFonts w:asciiTheme="minorHAnsi" w:hAnsiTheme="minorHAnsi"/>
        </w:rPr>
      </w:pPr>
      <w:r w:rsidRPr="00FA3D7F">
        <w:rPr>
          <w:rFonts w:asciiTheme="minorHAnsi" w:hAnsiTheme="minorHAnsi"/>
        </w:rPr>
        <w:t>Mistake #5:</w:t>
      </w:r>
      <w:r>
        <w:rPr>
          <w:rFonts w:asciiTheme="minorHAnsi" w:hAnsiTheme="minorHAnsi"/>
        </w:rPr>
        <w:t xml:space="preserve"> </w:t>
      </w:r>
      <w:r w:rsidRPr="00FA3D7F">
        <w:rPr>
          <w:rFonts w:asciiTheme="minorHAnsi" w:hAnsiTheme="minorHAnsi"/>
        </w:rPr>
        <w:t xml:space="preserve">Excessive Focus on Revenue Generation </w:t>
      </w:r>
    </w:p>
    <w:p w:rsidR="00FA3D7F" w:rsidRPr="00FA3D7F" w:rsidRDefault="00FA3D7F" w:rsidP="00836B98">
      <w:pPr>
        <w:pStyle w:val="ListParagraph"/>
        <w:numPr>
          <w:ilvl w:val="0"/>
          <w:numId w:val="13"/>
        </w:numPr>
        <w:spacing w:line="240" w:lineRule="auto"/>
        <w:ind w:left="284" w:hanging="284"/>
        <w:jc w:val="both"/>
        <w:rPr>
          <w:rFonts w:asciiTheme="minorHAnsi" w:hAnsiTheme="minorHAnsi"/>
        </w:rPr>
      </w:pPr>
      <w:r w:rsidRPr="00FA3D7F">
        <w:rPr>
          <w:rFonts w:asciiTheme="minorHAnsi" w:hAnsiTheme="minorHAnsi"/>
        </w:rPr>
        <w:t>Mistake #6:</w:t>
      </w:r>
      <w:r>
        <w:rPr>
          <w:rFonts w:asciiTheme="minorHAnsi" w:hAnsiTheme="minorHAnsi"/>
        </w:rPr>
        <w:t xml:space="preserve"> </w:t>
      </w:r>
      <w:r w:rsidRPr="00FA3D7F">
        <w:rPr>
          <w:rFonts w:asciiTheme="minorHAnsi" w:hAnsiTheme="minorHAnsi"/>
        </w:rPr>
        <w:t xml:space="preserve">Exiting for the Wrong Reasons or Wrong Time </w:t>
      </w:r>
    </w:p>
    <w:p w:rsidR="00FA3D7F" w:rsidRPr="00FA3D7F" w:rsidRDefault="00FA3D7F" w:rsidP="00836B98">
      <w:pPr>
        <w:pStyle w:val="ListParagraph"/>
        <w:numPr>
          <w:ilvl w:val="0"/>
          <w:numId w:val="13"/>
        </w:numPr>
        <w:spacing w:line="240" w:lineRule="auto"/>
        <w:ind w:left="284" w:hanging="284"/>
        <w:jc w:val="both"/>
        <w:rPr>
          <w:rFonts w:asciiTheme="minorHAnsi" w:hAnsiTheme="minorHAnsi"/>
        </w:rPr>
      </w:pPr>
      <w:r w:rsidRPr="00FA3D7F">
        <w:rPr>
          <w:rFonts w:asciiTheme="minorHAnsi" w:hAnsiTheme="minorHAnsi"/>
        </w:rPr>
        <w:t>Mistake #7:</w:t>
      </w:r>
      <w:r>
        <w:rPr>
          <w:rFonts w:asciiTheme="minorHAnsi" w:hAnsiTheme="minorHAnsi"/>
        </w:rPr>
        <w:t xml:space="preserve"> </w:t>
      </w:r>
      <w:r w:rsidRPr="00FA3D7F">
        <w:rPr>
          <w:rFonts w:asciiTheme="minorHAnsi" w:hAnsiTheme="minorHAnsi"/>
        </w:rPr>
        <w:t>Misaligned Board Membership to Situational Requirements</w:t>
      </w:r>
    </w:p>
    <w:p w:rsidR="00FA3D7F" w:rsidRPr="00FA3D7F" w:rsidRDefault="00FA3D7F" w:rsidP="00836B98">
      <w:pPr>
        <w:pStyle w:val="ListParagraph"/>
        <w:numPr>
          <w:ilvl w:val="0"/>
          <w:numId w:val="13"/>
        </w:numPr>
        <w:spacing w:line="240" w:lineRule="auto"/>
        <w:ind w:left="284" w:hanging="284"/>
        <w:jc w:val="both"/>
        <w:rPr>
          <w:rFonts w:asciiTheme="minorHAnsi" w:hAnsiTheme="minorHAnsi"/>
        </w:rPr>
      </w:pPr>
      <w:r w:rsidRPr="00FA3D7F">
        <w:rPr>
          <w:rFonts w:asciiTheme="minorHAnsi" w:hAnsiTheme="minorHAnsi"/>
        </w:rPr>
        <w:t>Mistake #8:</w:t>
      </w:r>
      <w:r>
        <w:rPr>
          <w:rFonts w:asciiTheme="minorHAnsi" w:hAnsiTheme="minorHAnsi"/>
        </w:rPr>
        <w:t xml:space="preserve"> </w:t>
      </w:r>
      <w:r w:rsidRPr="00FA3D7F">
        <w:rPr>
          <w:rFonts w:asciiTheme="minorHAnsi" w:hAnsiTheme="minorHAnsi"/>
        </w:rPr>
        <w:t>Lack of Company Leadership by the Board Members</w:t>
      </w:r>
    </w:p>
    <w:p w:rsidR="00FA3D7F" w:rsidRPr="00FA3D7F" w:rsidRDefault="00FA3D7F" w:rsidP="00836B98">
      <w:pPr>
        <w:pStyle w:val="ListParagraph"/>
        <w:numPr>
          <w:ilvl w:val="0"/>
          <w:numId w:val="13"/>
        </w:numPr>
        <w:spacing w:line="240" w:lineRule="auto"/>
        <w:ind w:left="284" w:hanging="284"/>
        <w:jc w:val="both"/>
        <w:rPr>
          <w:rFonts w:asciiTheme="minorHAnsi" w:hAnsiTheme="minorHAnsi"/>
        </w:rPr>
      </w:pPr>
      <w:r w:rsidRPr="00FA3D7F">
        <w:rPr>
          <w:rFonts w:asciiTheme="minorHAnsi" w:hAnsiTheme="minorHAnsi"/>
        </w:rPr>
        <w:t>Mistake #9:</w:t>
      </w:r>
      <w:r>
        <w:rPr>
          <w:rFonts w:asciiTheme="minorHAnsi" w:hAnsiTheme="minorHAnsi"/>
        </w:rPr>
        <w:t xml:space="preserve"> </w:t>
      </w:r>
      <w:r w:rsidRPr="00FA3D7F">
        <w:rPr>
          <w:rFonts w:asciiTheme="minorHAnsi" w:hAnsiTheme="minorHAnsi"/>
        </w:rPr>
        <w:t>Self-Focus Blinders</w:t>
      </w:r>
    </w:p>
    <w:p w:rsidR="00FA3D7F" w:rsidRPr="00FA3D7F" w:rsidRDefault="00FA3D7F" w:rsidP="00836B98">
      <w:pPr>
        <w:pStyle w:val="ListParagraph"/>
        <w:numPr>
          <w:ilvl w:val="0"/>
          <w:numId w:val="13"/>
        </w:numPr>
        <w:spacing w:line="240" w:lineRule="auto"/>
        <w:ind w:left="284" w:hanging="284"/>
        <w:jc w:val="both"/>
        <w:rPr>
          <w:rFonts w:asciiTheme="minorHAnsi" w:hAnsiTheme="minorHAnsi"/>
        </w:rPr>
      </w:pPr>
      <w:r w:rsidRPr="00FA3D7F">
        <w:rPr>
          <w:rFonts w:asciiTheme="minorHAnsi" w:hAnsiTheme="minorHAnsi"/>
        </w:rPr>
        <w:t>Mistake #10:</w:t>
      </w:r>
      <w:r>
        <w:rPr>
          <w:rFonts w:asciiTheme="minorHAnsi" w:hAnsiTheme="minorHAnsi"/>
        </w:rPr>
        <w:t xml:space="preserve"> </w:t>
      </w:r>
      <w:r w:rsidRPr="00FA3D7F">
        <w:rPr>
          <w:rFonts w:asciiTheme="minorHAnsi" w:hAnsiTheme="minorHAnsi"/>
        </w:rPr>
        <w:t xml:space="preserve">Lack of a Governess Process &amp; “Outsider” Perspectives </w:t>
      </w:r>
    </w:p>
    <w:p w:rsidR="00FA3D7F" w:rsidRDefault="000C002D" w:rsidP="00836B98">
      <w:pPr>
        <w:pStyle w:val="ListParagraph"/>
        <w:numPr>
          <w:ilvl w:val="0"/>
          <w:numId w:val="13"/>
        </w:numPr>
        <w:spacing w:line="240" w:lineRule="auto"/>
        <w:ind w:left="284" w:hanging="284"/>
        <w:jc w:val="both"/>
        <w:rPr>
          <w:rFonts w:asciiTheme="minorHAnsi" w:hAnsiTheme="minorHAnsi"/>
        </w:rPr>
      </w:pPr>
      <w:r>
        <w:rPr>
          <w:rFonts w:asciiTheme="minorHAnsi" w:hAnsiTheme="minorHAnsi"/>
          <w:noProof/>
        </w:rPr>
        <w:pict>
          <v:roundrect id="_x0000_s1134" style="position:absolute;left:0;text-align:left;margin-left:-6.8pt;margin-top:22.25pt;width:150.55pt;height:23.4pt;z-index:-251571200" arcsize="10923f">
            <v:shadow on="t" offset="3pt" offset2="2pt"/>
            <v:textbox>
              <w:txbxContent>
                <w:p w:rsidR="000C002D" w:rsidRPr="00B374FE" w:rsidRDefault="000C002D" w:rsidP="000C002D">
                  <w:pPr>
                    <w:rPr>
                      <w:rFonts w:asciiTheme="minorHAnsi" w:hAnsiTheme="minorHAnsi"/>
                    </w:rPr>
                  </w:pPr>
                  <w:r w:rsidRPr="00B374FE">
                    <w:rPr>
                      <w:rFonts w:asciiTheme="minorHAnsi" w:hAnsiTheme="minorHAnsi"/>
                    </w:rPr>
                    <w:t>WHO SHOULD ATTEND</w:t>
                  </w:r>
                </w:p>
              </w:txbxContent>
            </v:textbox>
          </v:roundrect>
        </w:pict>
      </w:r>
      <w:r w:rsidR="00FA3D7F" w:rsidRPr="00FA3D7F">
        <w:rPr>
          <w:rFonts w:asciiTheme="minorHAnsi" w:hAnsiTheme="minorHAnsi"/>
        </w:rPr>
        <w:t>Case studies</w:t>
      </w:r>
    </w:p>
    <w:p w:rsidR="00836B98" w:rsidRPr="00836B98" w:rsidRDefault="00836B98" w:rsidP="00836B98">
      <w:pPr>
        <w:jc w:val="both"/>
        <w:rPr>
          <w:rFonts w:asciiTheme="minorHAnsi" w:hAnsiTheme="minorHAnsi"/>
        </w:rPr>
      </w:pPr>
    </w:p>
    <w:p w:rsidR="002176CF" w:rsidRDefault="002176CF" w:rsidP="002176CF">
      <w:pPr>
        <w:jc w:val="both"/>
        <w:rPr>
          <w:rFonts w:asciiTheme="minorHAnsi" w:hAnsiTheme="minorHAnsi"/>
        </w:rPr>
      </w:pPr>
    </w:p>
    <w:p w:rsidR="00FA3D7F" w:rsidRPr="00FA3D7F" w:rsidRDefault="00FA3D7F" w:rsidP="00FA3D7F">
      <w:pPr>
        <w:rPr>
          <w:rFonts w:asciiTheme="minorHAnsi" w:hAnsiTheme="minorHAnsi"/>
        </w:rPr>
      </w:pPr>
      <w:r w:rsidRPr="00FA3D7F">
        <w:rPr>
          <w:rFonts w:asciiTheme="minorHAnsi" w:hAnsiTheme="minorHAnsi"/>
        </w:rPr>
        <w:t xml:space="preserve">Company Directors / Financial Controllers &amp; Finance Managers / Accountants &amp; Auditors </w:t>
      </w:r>
    </w:p>
    <w:p w:rsidR="00FA3D7F" w:rsidRDefault="00FA3D7F" w:rsidP="00FA3D7F">
      <w:pPr>
        <w:rPr>
          <w:rFonts w:asciiTheme="minorHAnsi" w:hAnsiTheme="minorHAnsi"/>
        </w:rPr>
      </w:pPr>
      <w:r w:rsidRPr="00FA3D7F">
        <w:rPr>
          <w:rFonts w:asciiTheme="minorHAnsi" w:hAnsiTheme="minorHAnsi"/>
        </w:rPr>
        <w:t>Company Secretaries / Academicians / Fund &amp; Investment Managers</w:t>
      </w:r>
    </w:p>
    <w:p w:rsidR="00FA3D7F" w:rsidRDefault="005004AE" w:rsidP="003F6F40">
      <w:pPr>
        <w:rPr>
          <w:rFonts w:asciiTheme="minorHAnsi" w:hAnsiTheme="minorHAnsi"/>
        </w:rPr>
      </w:pPr>
      <w:r>
        <w:rPr>
          <w:rFonts w:asciiTheme="minorHAnsi" w:hAnsiTheme="minorHAnsi"/>
          <w:noProof/>
          <w:lang w:val="en-US"/>
        </w:rPr>
        <w:pict>
          <v:roundrect id="_x0000_s1050" style="position:absolute;margin-left:-4.4pt;margin-top:9.15pt;width:150.55pt;height:23.4pt;z-index:-251652096" arcsize="10923f">
            <v:shadow on="t" offset="3pt" offset2="2pt"/>
            <v:textbox style="mso-next-textbox:#_x0000_s1050">
              <w:txbxContent>
                <w:p w:rsidR="00B374FE" w:rsidRPr="00B374FE" w:rsidRDefault="00B374FE" w:rsidP="00B374FE">
                  <w:pPr>
                    <w:rPr>
                      <w:rFonts w:asciiTheme="minorHAnsi" w:hAnsiTheme="minorHAnsi"/>
                    </w:rPr>
                  </w:pPr>
                  <w:r w:rsidRPr="00B374FE">
                    <w:rPr>
                      <w:rFonts w:asciiTheme="minorHAnsi" w:hAnsiTheme="minorHAnsi"/>
                    </w:rPr>
                    <w:t>METHODOLOGY OF DELIVERY</w:t>
                  </w:r>
                </w:p>
              </w:txbxContent>
            </v:textbox>
          </v:roundrect>
        </w:pict>
      </w:r>
    </w:p>
    <w:p w:rsidR="00FA3D7F" w:rsidRDefault="00FA3D7F" w:rsidP="003F6F40">
      <w:pPr>
        <w:rPr>
          <w:rFonts w:asciiTheme="minorHAnsi" w:hAnsiTheme="minorHAnsi"/>
        </w:rPr>
      </w:pPr>
    </w:p>
    <w:p w:rsidR="00FA3D7F" w:rsidRDefault="00FA3D7F" w:rsidP="003F6F40">
      <w:pPr>
        <w:rPr>
          <w:rFonts w:asciiTheme="minorHAnsi" w:hAnsiTheme="minorHAnsi"/>
        </w:rPr>
      </w:pPr>
    </w:p>
    <w:p w:rsidR="00FA3D7F" w:rsidRDefault="00FA3D7F" w:rsidP="003F6F40">
      <w:pPr>
        <w:rPr>
          <w:rFonts w:asciiTheme="minorHAnsi" w:hAnsiTheme="minorHAnsi"/>
        </w:rPr>
      </w:pPr>
      <w:r w:rsidRPr="00FA3D7F">
        <w:rPr>
          <w:rFonts w:asciiTheme="minorHAnsi" w:hAnsiTheme="minorHAnsi"/>
        </w:rPr>
        <w:t>Lectures facilitated by PowerPoint presentation and case studies discussion.</w:t>
      </w:r>
    </w:p>
    <w:p w:rsidR="00FA3D7F" w:rsidRDefault="00FA3D7F" w:rsidP="003F6F40">
      <w:pPr>
        <w:rPr>
          <w:rFonts w:asciiTheme="minorHAnsi" w:hAnsiTheme="minorHAnsi"/>
        </w:rPr>
      </w:pPr>
    </w:p>
    <w:p w:rsidR="00FA3D7F" w:rsidRDefault="00FA3D7F" w:rsidP="003F6F40">
      <w:pPr>
        <w:rPr>
          <w:rFonts w:asciiTheme="minorHAnsi" w:hAnsiTheme="minorHAnsi"/>
        </w:rPr>
      </w:pPr>
    </w:p>
    <w:p w:rsidR="00B26841" w:rsidRDefault="00B26841">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703FDF" w:rsidP="00B374FE">
            <w:pPr>
              <w:ind w:right="308"/>
              <w:jc w:val="both"/>
              <w:rPr>
                <w:rFonts w:asciiTheme="minorHAnsi" w:hAnsiTheme="minorHAnsi" w:cs="Segoe UI Semibold"/>
                <w:sz w:val="20"/>
              </w:rPr>
            </w:pPr>
            <w:r>
              <w:rPr>
                <w:rFonts w:asciiTheme="minorHAnsi" w:hAnsiTheme="minorHAnsi" w:cs="Segoe UI Semibold"/>
                <w:sz w:val="20"/>
              </w:rPr>
              <w:t>21 Oct / 25 Nov 2016</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B374FE" w:rsidP="00B374FE">
            <w:pPr>
              <w:ind w:right="308"/>
              <w:jc w:val="both"/>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2176CF" w:rsidP="00D102CC">
            <w:pPr>
              <w:ind w:right="308"/>
              <w:jc w:val="both"/>
              <w:rPr>
                <w:rFonts w:asciiTheme="minorHAnsi" w:hAnsiTheme="minorHAnsi" w:cs="Segoe UI Semibold"/>
                <w:sz w:val="20"/>
              </w:rPr>
            </w:pPr>
            <w:r>
              <w:rPr>
                <w:rFonts w:asciiTheme="minorHAnsi" w:hAnsiTheme="minorHAnsi" w:cs="Segoe UI Semibold"/>
                <w:sz w:val="20"/>
              </w:rPr>
              <w:t>Hilton Petaling Jaya</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1969FF">
            <w:pPr>
              <w:ind w:right="308"/>
              <w:jc w:val="both"/>
              <w:rPr>
                <w:rFonts w:asciiTheme="minorHAnsi" w:hAnsiTheme="minorHAnsi" w:cs="Segoe UI Semibold"/>
                <w:sz w:val="20"/>
              </w:rPr>
            </w:pPr>
            <w:r w:rsidRPr="00D90843">
              <w:rPr>
                <w:rFonts w:asciiTheme="minorHAnsi" w:hAnsiTheme="minorHAnsi" w:cs="Segoe UI Semibold"/>
                <w:sz w:val="20"/>
              </w:rPr>
              <w:t>RM</w:t>
            </w:r>
            <w:r w:rsidR="000C002D">
              <w:rPr>
                <w:rFonts w:asciiTheme="minorHAnsi" w:hAnsiTheme="minorHAnsi" w:cs="Segoe UI Semibold"/>
                <w:sz w:val="20"/>
              </w:rPr>
              <w:t xml:space="preserve">880.00 </w:t>
            </w:r>
            <w:r w:rsidRPr="00D90843">
              <w:rPr>
                <w:rFonts w:asciiTheme="minorHAnsi" w:hAnsiTheme="minorHAnsi" w:cs="Segoe UI Semibold"/>
                <w:sz w:val="20"/>
              </w:rPr>
              <w:t xml:space="preserve">per participant </w:t>
            </w:r>
            <w:r w:rsidRPr="00D90843">
              <w:rPr>
                <w:rFonts w:asciiTheme="minorHAnsi" w:hAnsiTheme="minorHAnsi" w:cs="Segoe UI Semibold"/>
                <w:bCs/>
                <w:sz w:val="20"/>
              </w:rPr>
              <w:t>(</w:t>
            </w:r>
            <w:r w:rsidR="000C002D">
              <w:rPr>
                <w:rFonts w:asciiTheme="minorHAnsi" w:hAnsiTheme="minorHAnsi" w:cs="Segoe UI Semibold"/>
                <w:bCs/>
                <w:sz w:val="20"/>
              </w:rPr>
              <w:t xml:space="preserve">exclusive </w:t>
            </w:r>
            <w:r w:rsidR="00C97D66">
              <w:rPr>
                <w:rFonts w:asciiTheme="minorHAnsi" w:hAnsiTheme="minorHAnsi" w:cs="Segoe UI Semibold"/>
                <w:bCs/>
                <w:sz w:val="20"/>
              </w:rPr>
              <w:t xml:space="preserve">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5004AE">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2.35pt;width:118.05pt;height:33.2pt;z-index:251657216" fillcolor="white [3201]" strokecolor="#fabf8f [1945]" strokeweight="1pt">
            <v:fill color2="#fbd4b4 [1305]" focusposition="1" focussize="" focus="100%" type="gradient"/>
            <v:shadow on="t" type="perspective" color="#974706 [1609]" opacity=".5" offset="1pt" offset2="-3pt"/>
            <v:textbox>
              <w:txbxContent>
                <w:p w:rsidR="00A5263F" w:rsidRPr="00B37990" w:rsidRDefault="00A5263F" w:rsidP="00A5263F">
                  <w:pPr>
                    <w:jc w:val="center"/>
                    <w:rPr>
                      <w:b/>
                      <w:color w:val="FFFFFF"/>
                      <w:sz w:val="10"/>
                      <w:szCs w:val="10"/>
                    </w:rPr>
                  </w:pPr>
                </w:p>
                <w:p w:rsidR="00A5263F" w:rsidRPr="002176CF" w:rsidRDefault="00BC0460" w:rsidP="00A5263F">
                  <w:pPr>
                    <w:jc w:val="center"/>
                    <w:rPr>
                      <w:rFonts w:ascii="Century Gothic" w:hAnsi="Century Gothic"/>
                      <w:b/>
                      <w:color w:val="595959" w:themeColor="text1" w:themeTint="A6"/>
                    </w:rPr>
                  </w:pPr>
                  <w:r w:rsidRPr="002176CF">
                    <w:rPr>
                      <w:rFonts w:ascii="Century Gothic" w:hAnsi="Century Gothic"/>
                      <w:b/>
                      <w:color w:val="595959" w:themeColor="text1" w:themeTint="A6"/>
                    </w:rPr>
                    <w:t>4</w:t>
                  </w:r>
                  <w:r w:rsidR="00A5263F" w:rsidRPr="002176CF">
                    <w:rPr>
                      <w:rFonts w:ascii="Century Gothic" w:hAnsi="Century Gothic"/>
                      <w:b/>
                      <w:color w:val="595959" w:themeColor="text1" w:themeTint="A6"/>
                    </w:rPr>
                    <w:t xml:space="preserve"> CEP </w:t>
                  </w:r>
                  <w:r w:rsidRPr="002176CF">
                    <w:rPr>
                      <w:rFonts w:ascii="Century Gothic" w:hAnsi="Century Gothic"/>
                      <w:b/>
                      <w:color w:val="595959" w:themeColor="text1" w:themeTint="A6"/>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0C002D">
      <w:pPr>
        <w:rPr>
          <w:rFonts w:asciiTheme="minorHAnsi" w:hAnsiTheme="minorHAnsi"/>
        </w:rPr>
      </w:pPr>
      <w:r>
        <w:rPr>
          <w:rFonts w:asciiTheme="minorHAnsi" w:hAnsiTheme="minorHAnsi"/>
          <w:noProof/>
          <w:lang w:val="en-US"/>
        </w:rPr>
        <w:pict>
          <v:roundrect id="_x0000_s1135" style="position:absolute;margin-left:-6.05pt;margin-top:10.6pt;width:150.55pt;height:23.4pt;z-index:-251570176" arcsize="10923f">
            <v:shadow on="t" offset="3pt" offset2="2pt"/>
            <v:textbox>
              <w:txbxContent>
                <w:p w:rsidR="000C002D" w:rsidRPr="000C002D" w:rsidRDefault="000C002D" w:rsidP="000C002D">
                  <w:pPr>
                    <w:rPr>
                      <w:rFonts w:asciiTheme="minorHAnsi" w:hAnsiTheme="minorHAnsi"/>
                      <w:lang w:val="en-US"/>
                    </w:rPr>
                  </w:pPr>
                  <w:r>
                    <w:rPr>
                      <w:rFonts w:asciiTheme="minorHAnsi" w:hAnsiTheme="minorHAnsi"/>
                      <w:lang w:val="en-US"/>
                    </w:rPr>
                    <w:t>PRESENTER’S PROFILE</w:t>
                  </w:r>
                </w:p>
              </w:txbxContent>
            </v:textbox>
          </v:roundrect>
        </w:pict>
      </w:r>
    </w:p>
    <w:p w:rsidR="00F928D5" w:rsidRDefault="00F928D5">
      <w:pPr>
        <w:rPr>
          <w:rFonts w:asciiTheme="minorHAnsi" w:hAnsiTheme="minorHAnsi"/>
        </w:rPr>
      </w:pPr>
    </w:p>
    <w:p w:rsidR="00FA3D7F" w:rsidRDefault="00FA3D7F">
      <w:pPr>
        <w:rPr>
          <w:rFonts w:asciiTheme="minorHAnsi" w:hAnsiTheme="minorHAnsi"/>
        </w:rPr>
      </w:pPr>
    </w:p>
    <w:p w:rsidR="000C002D" w:rsidRPr="000C002D" w:rsidRDefault="000C002D" w:rsidP="000C002D">
      <w:pPr>
        <w:jc w:val="both"/>
        <w:rPr>
          <w:rFonts w:asciiTheme="minorHAnsi" w:hAnsiTheme="minorHAnsi"/>
          <w:b/>
          <w:bCs/>
          <w:u w:val="single"/>
        </w:rPr>
      </w:pPr>
      <w:r>
        <w:rPr>
          <w:rFonts w:asciiTheme="minorHAnsi" w:hAnsiTheme="minorHAnsi"/>
          <w:b/>
          <w:bCs/>
          <w:u w:val="single"/>
        </w:rPr>
        <w:t>MR. DEVANESAN EVANSON</w:t>
      </w:r>
    </w:p>
    <w:p w:rsidR="00CB69F8" w:rsidRDefault="00CB69F8" w:rsidP="00D66C13">
      <w:pPr>
        <w:spacing w:line="160" w:lineRule="exact"/>
        <w:jc w:val="both"/>
        <w:rPr>
          <w:rFonts w:asciiTheme="minorHAnsi" w:hAnsiTheme="minorHAnsi"/>
        </w:rPr>
      </w:pPr>
    </w:p>
    <w:p w:rsidR="00FA3D7F" w:rsidRDefault="000C002D" w:rsidP="000C002D">
      <w:pPr>
        <w:jc w:val="both"/>
        <w:rPr>
          <w:rFonts w:asciiTheme="minorHAnsi" w:hAnsiTheme="minorHAnsi"/>
        </w:rPr>
      </w:pPr>
      <w:r w:rsidRPr="000C002D">
        <w:rPr>
          <w:rFonts w:asciiTheme="minorHAnsi" w:hAnsiTheme="minorHAnsi"/>
        </w:rPr>
        <w:t>Devanesan Evanson is a qualified accountant (FCCA) and a member of the Malaysian Institute of Accountants (CA (M)). He also has LLB (Hons) in law. He is currently a governor of the Institute of Internal Auditors Malaysia (CFIIAM) and is a past president. He was also a council member of the Malaysian Institute of Accountants</w:t>
      </w:r>
      <w:r>
        <w:rPr>
          <w:rFonts w:asciiTheme="minorHAnsi" w:hAnsiTheme="minorHAnsi"/>
        </w:rPr>
        <w:t>.</w:t>
      </w:r>
    </w:p>
    <w:p w:rsidR="000C002D" w:rsidRDefault="000C002D" w:rsidP="000C002D">
      <w:pPr>
        <w:jc w:val="both"/>
        <w:rPr>
          <w:rFonts w:asciiTheme="minorHAnsi" w:hAnsiTheme="minorHAnsi"/>
        </w:rPr>
      </w:pPr>
    </w:p>
    <w:p w:rsidR="000C002D" w:rsidRDefault="000C002D" w:rsidP="000C002D">
      <w:pPr>
        <w:jc w:val="both"/>
        <w:rPr>
          <w:rFonts w:asciiTheme="minorHAnsi" w:hAnsiTheme="minorHAnsi"/>
        </w:rPr>
      </w:pPr>
      <w:r w:rsidRPr="000C002D">
        <w:rPr>
          <w:rFonts w:asciiTheme="minorHAnsi" w:hAnsiTheme="minorHAnsi"/>
        </w:rPr>
        <w:t>Devanesan was the Chief Regulatory Officer of Bursa Malaysia and served Bursa Malaysia for 18 years prior to his retirement in 2010. During his tenure, he also served as Head of Internal Audit and Risk Management and as Chief Market Operations Officer.</w:t>
      </w:r>
    </w:p>
    <w:p w:rsidR="000C002D" w:rsidRDefault="000C002D" w:rsidP="000C002D">
      <w:pPr>
        <w:jc w:val="both"/>
        <w:rPr>
          <w:rFonts w:asciiTheme="minorHAnsi" w:hAnsiTheme="minorHAnsi"/>
        </w:rPr>
      </w:pPr>
    </w:p>
    <w:p w:rsidR="000C002D" w:rsidRDefault="000C002D" w:rsidP="000C002D">
      <w:pPr>
        <w:jc w:val="both"/>
        <w:rPr>
          <w:rFonts w:asciiTheme="minorHAnsi" w:hAnsiTheme="minorHAnsi"/>
        </w:rPr>
      </w:pPr>
      <w:r w:rsidRPr="000C002D">
        <w:rPr>
          <w:rFonts w:asciiTheme="minorHAnsi" w:hAnsiTheme="minorHAnsi"/>
        </w:rPr>
        <w:t>Devanesan was also one of the regular trainers for the Mandatory Accreditation Programme for Directors of Public Listed Companies (MAP) and a regular trainer for the Securities Industry Development Corporation (SIDC) of the Securities Commission. He covers a few modules of the Capital Market Directors Programme – a compulsory programme for capital market intermediary directors.</w:t>
      </w:r>
    </w:p>
    <w:p w:rsidR="000C002D" w:rsidRDefault="000C002D" w:rsidP="000C002D">
      <w:pPr>
        <w:jc w:val="both"/>
        <w:rPr>
          <w:rFonts w:asciiTheme="minorHAnsi" w:hAnsiTheme="minorHAnsi"/>
        </w:rPr>
      </w:pPr>
    </w:p>
    <w:p w:rsidR="00117549" w:rsidRDefault="000C002D" w:rsidP="00117549">
      <w:pPr>
        <w:jc w:val="both"/>
        <w:rPr>
          <w:rFonts w:asciiTheme="minorHAnsi" w:hAnsiTheme="minorHAnsi"/>
        </w:rPr>
      </w:pPr>
      <w:r w:rsidRPr="000C002D">
        <w:rPr>
          <w:rFonts w:asciiTheme="minorHAnsi" w:hAnsiTheme="minorHAnsi"/>
        </w:rPr>
        <w:t>Devanesan has also external audit experience having worked with a leading external audit firm for seven years.</w:t>
      </w:r>
    </w:p>
    <w:p w:rsidR="00117549" w:rsidRPr="00B26841" w:rsidRDefault="00117549">
      <w:pPr>
        <w:rPr>
          <w:rFonts w:asciiTheme="minorHAnsi" w:hAnsiTheme="minorHAnsi"/>
        </w:rPr>
        <w:sectPr w:rsidR="00117549" w:rsidRPr="00B26841" w:rsidSect="00800675">
          <w:type w:val="continuous"/>
          <w:pgSz w:w="11906" w:h="16838" w:code="9"/>
          <w:pgMar w:top="1440" w:right="1080" w:bottom="1440" w:left="1080" w:header="0" w:footer="0" w:gutter="0"/>
          <w:cols w:num="2" w:sep="1" w:space="567"/>
          <w:titlePg/>
          <w:docGrid w:linePitch="299"/>
        </w:sectPr>
      </w:pPr>
    </w:p>
    <w:p w:rsidR="00117549" w:rsidRDefault="00117549" w:rsidP="00D35263">
      <w:pPr>
        <w:jc w:val="center"/>
        <w:rPr>
          <w:rFonts w:asciiTheme="majorHAnsi" w:hAnsiTheme="majorHAnsi"/>
          <w:sz w:val="28"/>
          <w:szCs w:val="28"/>
          <w:u w:val="single"/>
        </w:rPr>
      </w:pPr>
    </w:p>
    <w:p w:rsidR="00D66C13" w:rsidRDefault="00D66C13"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321A2B" w:rsidRPr="00321A2B" w:rsidRDefault="00321A2B" w:rsidP="00321A2B">
      <w:pPr>
        <w:jc w:val="center"/>
        <w:rPr>
          <w:rFonts w:asciiTheme="majorHAnsi" w:eastAsiaTheme="majorEastAsia" w:hAnsiTheme="majorHAnsi" w:cstheme="majorBidi"/>
          <w:b/>
          <w:bCs/>
          <w:color w:val="365F91" w:themeColor="accent1" w:themeShade="BF"/>
          <w:sz w:val="36"/>
          <w:szCs w:val="36"/>
        </w:rPr>
      </w:pPr>
      <w:r w:rsidRPr="00321A2B">
        <w:rPr>
          <w:rFonts w:asciiTheme="majorHAnsi" w:eastAsiaTheme="majorEastAsia" w:hAnsiTheme="majorHAnsi" w:cstheme="majorBidi"/>
          <w:b/>
          <w:bCs/>
          <w:color w:val="365F91" w:themeColor="accent1" w:themeShade="BF"/>
          <w:sz w:val="36"/>
          <w:szCs w:val="36"/>
        </w:rPr>
        <w:t>Common Mistakes Made By Company Directors In Managing Their Business</w:t>
      </w:r>
    </w:p>
    <w:p w:rsidR="000D57B6" w:rsidRDefault="00321A2B" w:rsidP="00321A2B">
      <w:pPr>
        <w:jc w:val="center"/>
        <w:rPr>
          <w:rFonts w:asciiTheme="minorHAnsi" w:hAnsiTheme="minorHAnsi"/>
          <w:sz w:val="24"/>
          <w:szCs w:val="24"/>
        </w:rPr>
      </w:pPr>
      <w:r w:rsidRPr="00321A2B">
        <w:rPr>
          <w:rFonts w:asciiTheme="majorHAnsi" w:eastAsiaTheme="majorEastAsia" w:hAnsiTheme="majorHAnsi" w:cstheme="majorBidi"/>
          <w:b/>
          <w:bCs/>
          <w:color w:val="365F91" w:themeColor="accent1" w:themeShade="BF"/>
          <w:sz w:val="36"/>
          <w:szCs w:val="36"/>
        </w:rPr>
        <w:t>(with real life cases)</w:t>
      </w:r>
      <w:r w:rsidR="006807E9">
        <w:rPr>
          <w:rFonts w:asciiTheme="minorHAnsi" w:hAnsiTheme="minorHAnsi"/>
          <w:sz w:val="24"/>
          <w:szCs w:val="24"/>
        </w:rPr>
        <w:br/>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5004AE">
      <w:pPr>
        <w:rPr>
          <w:rFonts w:asciiTheme="minorHAnsi" w:hAnsiTheme="minorHAnsi"/>
          <w:sz w:val="24"/>
          <w:szCs w:val="24"/>
        </w:rPr>
      </w:pPr>
      <w:r w:rsidRPr="005004AE">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1928"/>
        <w:gridCol w:w="270"/>
        <w:gridCol w:w="3420"/>
        <w:gridCol w:w="270"/>
        <w:gridCol w:w="270"/>
        <w:gridCol w:w="270"/>
        <w:gridCol w:w="659"/>
      </w:tblGrid>
      <w:tr w:rsidR="00FB169B" w:rsidRPr="00E76169" w:rsidTr="00703FDF">
        <w:tc>
          <w:tcPr>
            <w:tcW w:w="250" w:type="dxa"/>
          </w:tcPr>
          <w:p w:rsidR="00FB169B" w:rsidRPr="00E76169" w:rsidRDefault="005004AE"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bottom;mso-position-vertical-relative:margin">
                  <v:shadow on="t" offset=",3pt" offset2=",2pt"/>
                  <w10:wrap anchory="margin"/>
                </v:rect>
              </w:pict>
            </w:r>
          </w:p>
        </w:tc>
        <w:tc>
          <w:tcPr>
            <w:tcW w:w="1928" w:type="dxa"/>
          </w:tcPr>
          <w:p w:rsidR="00FB169B" w:rsidRPr="00E76169" w:rsidRDefault="00703FDF" w:rsidP="00C97D66">
            <w:pPr>
              <w:rPr>
                <w:rFonts w:asciiTheme="minorHAnsi" w:hAnsiTheme="minorHAnsi"/>
                <w:sz w:val="24"/>
                <w:szCs w:val="24"/>
                <w:lang w:val="en-US"/>
              </w:rPr>
            </w:pPr>
            <w:r>
              <w:rPr>
                <w:rFonts w:asciiTheme="minorHAnsi" w:hAnsiTheme="minorHAnsi"/>
                <w:sz w:val="24"/>
                <w:szCs w:val="24"/>
                <w:lang w:val="en-US"/>
              </w:rPr>
              <w:t>21</w:t>
            </w:r>
            <w:r w:rsidRPr="00703FDF">
              <w:rPr>
                <w:rFonts w:asciiTheme="minorHAnsi" w:hAnsiTheme="minorHAnsi"/>
                <w:sz w:val="24"/>
                <w:szCs w:val="24"/>
                <w:vertAlign w:val="superscript"/>
                <w:lang w:val="en-US"/>
              </w:rPr>
              <w:t>st</w:t>
            </w:r>
            <w:r>
              <w:rPr>
                <w:rFonts w:asciiTheme="minorHAnsi" w:hAnsiTheme="minorHAnsi"/>
                <w:sz w:val="24"/>
                <w:szCs w:val="24"/>
                <w:lang w:val="en-US"/>
              </w:rPr>
              <w:t xml:space="preserve"> October</w:t>
            </w:r>
          </w:p>
        </w:tc>
        <w:tc>
          <w:tcPr>
            <w:tcW w:w="270" w:type="dxa"/>
          </w:tcPr>
          <w:p w:rsidR="00FB169B" w:rsidRPr="00E76169" w:rsidRDefault="005004AE" w:rsidP="00D102CC">
            <w:pPr>
              <w:rPr>
                <w:rFonts w:asciiTheme="minorHAnsi" w:hAnsiTheme="minorHAnsi"/>
                <w:sz w:val="24"/>
                <w:szCs w:val="24"/>
                <w:lang w:val="en-US"/>
              </w:rPr>
            </w:pPr>
            <w:r>
              <w:rPr>
                <w:rFonts w:asciiTheme="minorHAnsi" w:hAnsiTheme="minorHAnsi"/>
                <w:noProof/>
                <w:sz w:val="24"/>
                <w:szCs w:val="24"/>
                <w:lang w:val="en-US"/>
              </w:rPr>
              <w:pict>
                <v:rect id="_x0000_s1132" style="position:absolute;margin-left:-4.85pt;margin-top:.4pt;width:10.65pt;height:10.05pt;z-index:251744256;mso-position-horizontal-relative:text;mso-position-vertical-relative:margin">
                  <v:shadow on="t" offset=",3pt" offset2=",2pt"/>
                  <w10:wrap anchory="margin"/>
                </v:rect>
              </w:pict>
            </w:r>
          </w:p>
        </w:tc>
        <w:tc>
          <w:tcPr>
            <w:tcW w:w="3420" w:type="dxa"/>
          </w:tcPr>
          <w:p w:rsidR="00FB169B" w:rsidRPr="00E76169" w:rsidRDefault="00703FDF" w:rsidP="001969FF">
            <w:pPr>
              <w:rPr>
                <w:rFonts w:asciiTheme="minorHAnsi" w:hAnsiTheme="minorHAnsi"/>
                <w:sz w:val="24"/>
                <w:szCs w:val="24"/>
                <w:lang w:val="en-US"/>
              </w:rPr>
            </w:pPr>
            <w:r>
              <w:rPr>
                <w:rFonts w:asciiTheme="minorHAnsi" w:hAnsiTheme="minorHAnsi"/>
                <w:sz w:val="24"/>
                <w:szCs w:val="24"/>
                <w:lang w:val="en-US"/>
              </w:rPr>
              <w:t>25</w:t>
            </w:r>
            <w:r w:rsidRPr="00703FDF">
              <w:rPr>
                <w:rFonts w:asciiTheme="minorHAnsi" w:hAnsiTheme="minorHAnsi"/>
                <w:sz w:val="24"/>
                <w:szCs w:val="24"/>
                <w:vertAlign w:val="superscript"/>
                <w:lang w:val="en-US"/>
              </w:rPr>
              <w:t>th</w:t>
            </w:r>
            <w:r>
              <w:rPr>
                <w:rFonts w:asciiTheme="minorHAnsi" w:hAnsiTheme="minorHAnsi"/>
                <w:sz w:val="24"/>
                <w:szCs w:val="24"/>
                <w:lang w:val="en-US"/>
              </w:rPr>
              <w:t xml:space="preserve"> November 2016</w:t>
            </w:r>
          </w:p>
        </w:tc>
        <w:tc>
          <w:tcPr>
            <w:tcW w:w="270" w:type="dxa"/>
          </w:tcPr>
          <w:p w:rsidR="00FB169B" w:rsidRPr="00E76169" w:rsidRDefault="00FB169B" w:rsidP="00D102CC">
            <w:pPr>
              <w:rPr>
                <w:rFonts w:asciiTheme="minorHAnsi" w:hAnsiTheme="minorHAnsi"/>
                <w:sz w:val="24"/>
                <w:szCs w:val="24"/>
                <w:lang w:val="en-US"/>
              </w:rPr>
            </w:pPr>
          </w:p>
        </w:tc>
        <w:tc>
          <w:tcPr>
            <w:tcW w:w="270" w:type="dxa"/>
          </w:tcPr>
          <w:p w:rsidR="00FB169B" w:rsidRPr="00E76169" w:rsidRDefault="00FB169B" w:rsidP="00D102CC">
            <w:pPr>
              <w:rPr>
                <w:rFonts w:asciiTheme="minorHAnsi" w:hAnsiTheme="minorHAnsi"/>
                <w:sz w:val="24"/>
                <w:szCs w:val="24"/>
                <w:lang w:val="en-US"/>
              </w:rPr>
            </w:pPr>
          </w:p>
        </w:tc>
        <w:tc>
          <w:tcPr>
            <w:tcW w:w="270" w:type="dxa"/>
          </w:tcPr>
          <w:p w:rsidR="00FB169B" w:rsidRDefault="00FB169B" w:rsidP="00D102CC">
            <w:pPr>
              <w:rPr>
                <w:rFonts w:asciiTheme="minorHAnsi" w:hAnsiTheme="minorHAnsi"/>
                <w:sz w:val="24"/>
                <w:szCs w:val="24"/>
                <w:lang w:val="en-US"/>
              </w:rPr>
            </w:pPr>
          </w:p>
        </w:tc>
        <w:tc>
          <w:tcPr>
            <w:tcW w:w="65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5004AE" w:rsidP="00E76169">
      <w:pPr>
        <w:rPr>
          <w:rFonts w:asciiTheme="minorHAnsi" w:hAnsiTheme="minorHAnsi"/>
          <w:sz w:val="24"/>
          <w:szCs w:val="24"/>
        </w:rPr>
      </w:pPr>
      <w:r w:rsidRPr="005004AE">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1969FF" w:rsidRDefault="005004AE"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732393">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732393">
        <w:rPr>
          <w:rFonts w:asciiTheme="minorHAnsi" w:hAnsiTheme="minorHAnsi"/>
          <w:noProof/>
          <w:sz w:val="24"/>
          <w:szCs w:val="24"/>
          <w:lang w:val="en-US"/>
        </w:rPr>
        <w:t>bursatra5@gmail.com</w:t>
      </w:r>
    </w:p>
    <w:p w:rsidR="00E76169" w:rsidRDefault="005004AE" w:rsidP="00E76169">
      <w:pPr>
        <w:jc w:val="center"/>
        <w:rPr>
          <w:rFonts w:asciiTheme="minorHAnsi" w:hAnsiTheme="minorHAnsi"/>
          <w:sz w:val="24"/>
          <w:szCs w:val="24"/>
        </w:rPr>
      </w:pPr>
      <w:r>
        <w:rPr>
          <w:rFonts w:asciiTheme="minorHAnsi" w:hAnsiTheme="minorHAnsi"/>
          <w:noProof/>
          <w:sz w:val="24"/>
          <w:szCs w:val="24"/>
          <w:lang w:val="en-US"/>
        </w:rPr>
        <w:pict>
          <v:roundrect id="_x0000_s1130" style="position:absolute;left:0;text-align:left;margin-left:-17.8pt;margin-top:10.2pt;width:459.85pt;height:50.25pt;z-index:251742208" arcsize="10923f" fillcolor="white [3201]" strokecolor="black [3200]" strokeweight="2.5pt">
            <v:shadow color="#868686"/>
            <v:textbo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v:textbox>
          </v:roundrect>
        </w:pict>
      </w:r>
    </w:p>
    <w:p w:rsidR="002176CF" w:rsidRPr="00E76169" w:rsidRDefault="002176CF" w:rsidP="00E76169">
      <w:pPr>
        <w:jc w:val="center"/>
        <w:rPr>
          <w:rFonts w:asciiTheme="minorHAnsi" w:hAnsiTheme="minorHAnsi"/>
          <w:sz w:val="24"/>
          <w:szCs w:val="24"/>
        </w:rPr>
      </w:pPr>
    </w:p>
    <w:sectPr w:rsidR="002176CF" w:rsidRPr="00E76169"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A9F" w:rsidRDefault="00D10A9F">
      <w:r>
        <w:separator/>
      </w:r>
    </w:p>
  </w:endnote>
  <w:endnote w:type="continuationSeparator" w:id="1">
    <w:p w:rsidR="00D10A9F" w:rsidRDefault="00D10A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A9F" w:rsidRDefault="00D10A9F">
      <w:r>
        <w:separator/>
      </w:r>
    </w:p>
  </w:footnote>
  <w:footnote w:type="continuationSeparator" w:id="1">
    <w:p w:rsidR="00D10A9F" w:rsidRDefault="00D10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004A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5004AE" w:rsidP="00C24690">
    <w:pPr>
      <w:pStyle w:val="Heading5"/>
      <w:ind w:left="-810" w:hanging="90"/>
      <w:rPr>
        <w:rFonts w:ascii="Century Gothic" w:hAnsi="Century Gothic"/>
        <w:i w:val="0"/>
        <w:iCs/>
        <w:sz w:val="24"/>
        <w:szCs w:val="24"/>
      </w:rPr>
    </w:pPr>
    <w:r w:rsidRPr="005004A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004A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6"/>
  </w:num>
  <w:num w:numId="3">
    <w:abstractNumId w:val="11"/>
  </w:num>
  <w:num w:numId="4">
    <w:abstractNumId w:val="9"/>
  </w:num>
  <w:num w:numId="5">
    <w:abstractNumId w:val="1"/>
  </w:num>
  <w:num w:numId="6">
    <w:abstractNumId w:val="10"/>
  </w:num>
  <w:num w:numId="7">
    <w:abstractNumId w:val="7"/>
  </w:num>
  <w:num w:numId="8">
    <w:abstractNumId w:val="4"/>
  </w:num>
  <w:num w:numId="9">
    <w:abstractNumId w:val="3"/>
  </w:num>
  <w:num w:numId="10">
    <w:abstractNumId w:val="0"/>
  </w:num>
  <w:num w:numId="11">
    <w:abstractNumId w:val="5"/>
  </w:num>
  <w:num w:numId="12">
    <w:abstractNumId w:val="8"/>
  </w:num>
  <w:num w:numId="1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6146">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002D"/>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17549"/>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176CF"/>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A73F3"/>
    <w:rsid w:val="002B2C67"/>
    <w:rsid w:val="002C286F"/>
    <w:rsid w:val="002D152D"/>
    <w:rsid w:val="002D1EA7"/>
    <w:rsid w:val="002D40CE"/>
    <w:rsid w:val="002D76A9"/>
    <w:rsid w:val="002E6DF0"/>
    <w:rsid w:val="002E6DF1"/>
    <w:rsid w:val="002F32AA"/>
    <w:rsid w:val="002F629E"/>
    <w:rsid w:val="002F679A"/>
    <w:rsid w:val="00304457"/>
    <w:rsid w:val="003215CC"/>
    <w:rsid w:val="00321A2B"/>
    <w:rsid w:val="00323457"/>
    <w:rsid w:val="00324A08"/>
    <w:rsid w:val="003300F6"/>
    <w:rsid w:val="003324DF"/>
    <w:rsid w:val="00336392"/>
    <w:rsid w:val="0034120C"/>
    <w:rsid w:val="00350723"/>
    <w:rsid w:val="0035263B"/>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B3A5D"/>
    <w:rsid w:val="004D135F"/>
    <w:rsid w:val="004D5038"/>
    <w:rsid w:val="004E0773"/>
    <w:rsid w:val="004E6547"/>
    <w:rsid w:val="004E68AD"/>
    <w:rsid w:val="004E71E2"/>
    <w:rsid w:val="004F0317"/>
    <w:rsid w:val="004F74FF"/>
    <w:rsid w:val="005004AE"/>
    <w:rsid w:val="00502E5F"/>
    <w:rsid w:val="005075DC"/>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A1CE8"/>
    <w:rsid w:val="006A299A"/>
    <w:rsid w:val="006B11CB"/>
    <w:rsid w:val="006C21AD"/>
    <w:rsid w:val="006C3FD2"/>
    <w:rsid w:val="006C5CB2"/>
    <w:rsid w:val="006D77A2"/>
    <w:rsid w:val="006E2F0B"/>
    <w:rsid w:val="006F5FAE"/>
    <w:rsid w:val="00703FDF"/>
    <w:rsid w:val="0070458F"/>
    <w:rsid w:val="007063EE"/>
    <w:rsid w:val="00706FF6"/>
    <w:rsid w:val="007137FB"/>
    <w:rsid w:val="007158D1"/>
    <w:rsid w:val="00722C3F"/>
    <w:rsid w:val="00726DBB"/>
    <w:rsid w:val="00732393"/>
    <w:rsid w:val="0074177E"/>
    <w:rsid w:val="00742723"/>
    <w:rsid w:val="007466BC"/>
    <w:rsid w:val="00764168"/>
    <w:rsid w:val="00777EB1"/>
    <w:rsid w:val="00782EDD"/>
    <w:rsid w:val="00784BD4"/>
    <w:rsid w:val="0079258D"/>
    <w:rsid w:val="007A38E3"/>
    <w:rsid w:val="007A60B4"/>
    <w:rsid w:val="007B4216"/>
    <w:rsid w:val="007C300D"/>
    <w:rsid w:val="007D230C"/>
    <w:rsid w:val="007D4BE4"/>
    <w:rsid w:val="007D5284"/>
    <w:rsid w:val="007E12DD"/>
    <w:rsid w:val="007E6186"/>
    <w:rsid w:val="007E7344"/>
    <w:rsid w:val="007E7961"/>
    <w:rsid w:val="007F0032"/>
    <w:rsid w:val="007F3A4E"/>
    <w:rsid w:val="007F3B5C"/>
    <w:rsid w:val="007F4878"/>
    <w:rsid w:val="007F4C9F"/>
    <w:rsid w:val="007F7B3F"/>
    <w:rsid w:val="00800675"/>
    <w:rsid w:val="00804D0E"/>
    <w:rsid w:val="008132A7"/>
    <w:rsid w:val="00815491"/>
    <w:rsid w:val="0082324A"/>
    <w:rsid w:val="008245A3"/>
    <w:rsid w:val="008302DC"/>
    <w:rsid w:val="008334F3"/>
    <w:rsid w:val="0083372F"/>
    <w:rsid w:val="00836B98"/>
    <w:rsid w:val="008556B4"/>
    <w:rsid w:val="00857F0B"/>
    <w:rsid w:val="008625D4"/>
    <w:rsid w:val="0087164E"/>
    <w:rsid w:val="00873998"/>
    <w:rsid w:val="00880F11"/>
    <w:rsid w:val="00882E02"/>
    <w:rsid w:val="00885384"/>
    <w:rsid w:val="00886436"/>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C7524"/>
    <w:rsid w:val="009D03F3"/>
    <w:rsid w:val="009D510E"/>
    <w:rsid w:val="009D5C3B"/>
    <w:rsid w:val="009E77BF"/>
    <w:rsid w:val="00A00F25"/>
    <w:rsid w:val="00A01F70"/>
    <w:rsid w:val="00A06B10"/>
    <w:rsid w:val="00A13919"/>
    <w:rsid w:val="00A2356C"/>
    <w:rsid w:val="00A26477"/>
    <w:rsid w:val="00A33C8A"/>
    <w:rsid w:val="00A5263F"/>
    <w:rsid w:val="00A612A4"/>
    <w:rsid w:val="00A63428"/>
    <w:rsid w:val="00A63981"/>
    <w:rsid w:val="00A72244"/>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69F8"/>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0A9F"/>
    <w:rsid w:val="00D12851"/>
    <w:rsid w:val="00D14DD8"/>
    <w:rsid w:val="00D2799C"/>
    <w:rsid w:val="00D34E2C"/>
    <w:rsid w:val="00D35263"/>
    <w:rsid w:val="00D36AC3"/>
    <w:rsid w:val="00D40D8D"/>
    <w:rsid w:val="00D55B69"/>
    <w:rsid w:val="00D56F3F"/>
    <w:rsid w:val="00D571E5"/>
    <w:rsid w:val="00D66C13"/>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A3D7F"/>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89E74-A1C0-4AAB-A859-28AF2674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3010</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keywords/>
  <cp:lastModifiedBy>hp</cp:lastModifiedBy>
  <cp:revision>12</cp:revision>
  <cp:lastPrinted>2015-07-06T11:13:00Z</cp:lastPrinted>
  <dcterms:created xsi:type="dcterms:W3CDTF">2016-01-17T16:32:00Z</dcterms:created>
  <dcterms:modified xsi:type="dcterms:W3CDTF">2016-09-12T18:15:00Z</dcterms:modified>
  <cp:category>CGBP</cp:category>
</cp:coreProperties>
</file>